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F9DCF" w14:textId="56C620D8" w:rsidR="00E63933" w:rsidRDefault="00A90270" w:rsidP="005A38DA">
      <w:pPr>
        <w:shd w:val="clear" w:color="auto" w:fill="FFFFFF"/>
        <w:spacing w:after="0" w:line="240" w:lineRule="auto"/>
        <w:jc w:val="center"/>
      </w:pPr>
      <w:r>
        <w:rPr>
          <w:noProof/>
          <w:lang w:eastAsia="en-AU"/>
        </w:rPr>
        <mc:AlternateContent>
          <mc:Choice Requires="wps">
            <w:drawing>
              <wp:anchor distT="45720" distB="45720" distL="114300" distR="114300" simplePos="0" relativeHeight="251660288" behindDoc="0" locked="0" layoutInCell="1" allowOverlap="1" wp14:anchorId="482F0A20" wp14:editId="3D8B386E">
                <wp:simplePos x="0" y="0"/>
                <wp:positionH relativeFrom="column">
                  <wp:posOffset>3531870</wp:posOffset>
                </wp:positionH>
                <wp:positionV relativeFrom="paragraph">
                  <wp:posOffset>102870</wp:posOffset>
                </wp:positionV>
                <wp:extent cx="876300" cy="4495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49580"/>
                        </a:xfrm>
                        <a:prstGeom prst="rect">
                          <a:avLst/>
                        </a:prstGeom>
                        <a:solidFill>
                          <a:srgbClr val="FFFFFF"/>
                        </a:solidFill>
                        <a:ln w="9525">
                          <a:noFill/>
                          <a:miter lim="800000"/>
                          <a:headEnd/>
                          <a:tailEnd/>
                        </a:ln>
                      </wps:spPr>
                      <wps:txbx>
                        <w:txbxContent>
                          <w:p w14:paraId="6F10F279" w14:textId="77777777" w:rsidR="00E63933" w:rsidRPr="0019371D" w:rsidRDefault="00E63933" w:rsidP="00E63933">
                            <w:pPr>
                              <w:spacing w:after="0" w:line="240" w:lineRule="auto"/>
                              <w:rPr>
                                <w:color w:val="ED7D31" w:themeColor="accent2"/>
                                <w:sz w:val="56"/>
                                <w:szCs w:val="56"/>
                              </w:rPr>
                            </w:pPr>
                            <w:r w:rsidRPr="0019371D">
                              <w:rPr>
                                <w:color w:val="ED7D31" w:themeColor="accent2"/>
                                <w:sz w:val="56"/>
                                <w:szCs w:val="56"/>
                              </w:rPr>
                              <w:t>RUN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2F0A20" id="_x0000_t202" coordsize="21600,21600" o:spt="202" path="m,l,21600r21600,l21600,xe">
                <v:stroke joinstyle="miter"/>
                <v:path gradientshapeok="t" o:connecttype="rect"/>
              </v:shapetype>
              <v:shape id="Text Box 2" o:spid="_x0000_s1026" type="#_x0000_t202" style="position:absolute;left:0;text-align:left;margin-left:278.1pt;margin-top:8.1pt;width:69pt;height:35.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" stroked="f">
                <v:textbox>
                  <w:txbxContent>
                    <w:p w14:paraId="6F10F279" w14:textId="77777777" w:rsidR="00E63933" w:rsidRPr="0019371D" w:rsidRDefault="00E63933" w:rsidP="00E63933">
                      <w:pPr>
                        <w:spacing w:after="0" w:line="240" w:lineRule="auto"/>
                        <w:rPr>
                          <w:color w:val="ED7D31" w:themeColor="accent2"/>
                          <w:sz w:val="56"/>
                          <w:szCs w:val="56"/>
                        </w:rPr>
                      </w:pPr>
                      <w:r w:rsidRPr="0019371D">
                        <w:rPr>
                          <w:color w:val="ED7D31" w:themeColor="accent2"/>
                          <w:sz w:val="56"/>
                          <w:szCs w:val="56"/>
                        </w:rPr>
                        <w:t>RUN</w:t>
                      </w:r>
                    </w:p>
                  </w:txbxContent>
                </v:textbox>
                <w10:wrap type="square"/>
              </v:shape>
            </w:pict>
          </mc:Fallback>
        </mc:AlternateContent>
      </w:r>
      <w:r w:rsidR="00E63933">
        <w:rPr>
          <w:noProof/>
          <w:lang w:eastAsia="en-AU"/>
        </w:rPr>
        <w:drawing>
          <wp:anchor distT="0" distB="0" distL="114300" distR="114300" simplePos="0" relativeHeight="251659264" behindDoc="0" locked="0" layoutInCell="1" allowOverlap="1" wp14:anchorId="5B822112" wp14:editId="32BCEE1E">
            <wp:simplePos x="0" y="0"/>
            <wp:positionH relativeFrom="margin">
              <wp:posOffset>2487930</wp:posOffset>
            </wp:positionH>
            <wp:positionV relativeFrom="paragraph">
              <wp:posOffset>11430</wp:posOffset>
            </wp:positionV>
            <wp:extent cx="1104900" cy="800100"/>
            <wp:effectExtent l="0" t="0" r="0" b="0"/>
            <wp:wrapThrough wrapText="bothSides">
              <wp:wrapPolygon edited="0">
                <wp:start x="0" y="0"/>
                <wp:lineTo x="0" y="21086"/>
                <wp:lineTo x="21228" y="21086"/>
                <wp:lineTo x="2122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104900" cy="800100"/>
                    </a:xfrm>
                    <a:prstGeom prst="rect">
                      <a:avLst/>
                    </a:prstGeom>
                  </pic:spPr>
                </pic:pic>
              </a:graphicData>
            </a:graphic>
            <wp14:sizeRelH relativeFrom="page">
              <wp14:pctWidth>0</wp14:pctWidth>
            </wp14:sizeRelH>
            <wp14:sizeRelV relativeFrom="page">
              <wp14:pctHeight>0</wp14:pctHeight>
            </wp14:sizeRelV>
          </wp:anchor>
        </w:drawing>
      </w:r>
    </w:p>
    <w:p w14:paraId="598B6917" w14:textId="0D5A283B" w:rsidR="00916148" w:rsidRDefault="00A90270" w:rsidP="00A90270">
      <w:pPr>
        <w:shd w:val="clear" w:color="auto" w:fill="FFFFFF"/>
        <w:spacing w:after="0"/>
        <w:ind w:left="2438"/>
        <w:jc w:val="center"/>
        <w:rPr>
          <w:noProof/>
          <w:lang w:eastAsia="en-AU"/>
        </w:rPr>
      </w:pPr>
      <w:r>
        <w:rPr>
          <w:color w:val="ED7D31" w:themeColor="accent2"/>
          <w:sz w:val="56"/>
          <w:szCs w:val="56"/>
        </w:rPr>
        <w:t>ACTU</w:t>
      </w:r>
    </w:p>
    <w:p w14:paraId="70085CE4" w14:textId="77777777" w:rsidR="00916148" w:rsidRDefault="00916148" w:rsidP="00435840">
      <w:pPr>
        <w:shd w:val="clear" w:color="auto" w:fill="FFFFFF"/>
        <w:spacing w:after="0"/>
        <w:jc w:val="center"/>
        <w:rPr>
          <w:noProof/>
          <w:lang w:eastAsia="en-AU"/>
        </w:rPr>
      </w:pPr>
    </w:p>
    <w:p w14:paraId="5BDE24EB" w14:textId="0EC88857" w:rsidR="00E647B8" w:rsidRDefault="0005704B" w:rsidP="00E647B8">
      <w:pPr>
        <w:shd w:val="clear" w:color="auto" w:fill="FFFFFF"/>
        <w:spacing w:after="0"/>
        <w:jc w:val="center"/>
        <w:rPr>
          <w:rStyle w:val="Hyperlink"/>
          <w:noProof/>
          <w:lang w:eastAsia="en-AU"/>
        </w:rPr>
      </w:pPr>
      <w:hyperlink r:id="rId6" w:history="1">
        <w:r w:rsidR="00E647B8" w:rsidRPr="008751DB">
          <w:rPr>
            <w:rStyle w:val="Hyperlink"/>
            <w:noProof/>
            <w:lang w:eastAsia="en-AU"/>
          </w:rPr>
          <w:t>https://www.actu.org.au/get-involved/retired_unionists_network</w:t>
        </w:r>
      </w:hyperlink>
    </w:p>
    <w:p w14:paraId="2B15D6DC" w14:textId="77777777" w:rsidR="00ED1590" w:rsidRDefault="00ED1590" w:rsidP="00E647B8">
      <w:pPr>
        <w:shd w:val="clear" w:color="auto" w:fill="FFFFFF"/>
        <w:spacing w:after="0"/>
        <w:jc w:val="center"/>
        <w:rPr>
          <w:noProof/>
          <w:sz w:val="24"/>
          <w:szCs w:val="24"/>
          <w:lang w:eastAsia="en-AU"/>
        </w:rPr>
      </w:pPr>
    </w:p>
    <w:p w14:paraId="2110CB1C" w14:textId="573F7882" w:rsidR="00A20D98" w:rsidRDefault="00A32908" w:rsidP="001B262A">
      <w:pPr>
        <w:shd w:val="clear" w:color="auto" w:fill="FFFFFF"/>
        <w:spacing w:after="0"/>
        <w:jc w:val="both"/>
        <w:rPr>
          <w:noProof/>
          <w:sz w:val="24"/>
          <w:szCs w:val="24"/>
          <w:lang w:eastAsia="en-AU"/>
        </w:rPr>
      </w:pPr>
      <w:r>
        <w:rPr>
          <w:noProof/>
          <w:sz w:val="24"/>
          <w:szCs w:val="24"/>
          <w:lang w:eastAsia="en-AU"/>
        </w:rPr>
        <w:t>Phone: 0438 302 061</w:t>
      </w:r>
      <w:r>
        <w:rPr>
          <w:noProof/>
          <w:sz w:val="24"/>
          <w:szCs w:val="24"/>
          <w:lang w:eastAsia="en-AU"/>
        </w:rPr>
        <w:tab/>
      </w:r>
      <w:r>
        <w:rPr>
          <w:noProof/>
          <w:sz w:val="24"/>
          <w:szCs w:val="24"/>
          <w:lang w:eastAsia="en-AU"/>
        </w:rPr>
        <w:tab/>
      </w:r>
      <w:r>
        <w:rPr>
          <w:noProof/>
          <w:sz w:val="24"/>
          <w:szCs w:val="24"/>
          <w:lang w:eastAsia="en-AU"/>
        </w:rPr>
        <w:tab/>
      </w:r>
      <w:r>
        <w:rPr>
          <w:noProof/>
          <w:sz w:val="24"/>
          <w:szCs w:val="24"/>
          <w:lang w:eastAsia="en-AU"/>
        </w:rPr>
        <w:tab/>
      </w:r>
      <w:r>
        <w:rPr>
          <w:noProof/>
          <w:sz w:val="24"/>
          <w:szCs w:val="24"/>
          <w:lang w:eastAsia="en-AU"/>
        </w:rPr>
        <w:tab/>
      </w:r>
      <w:r>
        <w:rPr>
          <w:noProof/>
          <w:sz w:val="24"/>
          <w:szCs w:val="24"/>
          <w:lang w:eastAsia="en-AU"/>
        </w:rPr>
        <w:tab/>
      </w:r>
      <w:r>
        <w:rPr>
          <w:noProof/>
          <w:sz w:val="24"/>
          <w:szCs w:val="24"/>
          <w:lang w:eastAsia="en-AU"/>
        </w:rPr>
        <w:tab/>
      </w:r>
      <w:r>
        <w:rPr>
          <w:noProof/>
          <w:sz w:val="24"/>
          <w:szCs w:val="24"/>
          <w:lang w:eastAsia="en-AU"/>
        </w:rPr>
        <w:tab/>
        <w:t>6 Randall Avenue</w:t>
      </w:r>
    </w:p>
    <w:p w14:paraId="47A51451" w14:textId="18434A3F" w:rsidR="00A20D98" w:rsidRDefault="00A32908" w:rsidP="001B262A">
      <w:pPr>
        <w:shd w:val="clear" w:color="auto" w:fill="FFFFFF"/>
        <w:spacing w:after="0"/>
        <w:jc w:val="both"/>
        <w:rPr>
          <w:noProof/>
          <w:sz w:val="24"/>
          <w:szCs w:val="24"/>
          <w:lang w:eastAsia="en-AU"/>
        </w:rPr>
      </w:pPr>
      <w:r>
        <w:rPr>
          <w:noProof/>
          <w:sz w:val="24"/>
          <w:szCs w:val="24"/>
          <w:lang w:eastAsia="en-AU"/>
        </w:rPr>
        <w:t xml:space="preserve">Email: </w:t>
      </w:r>
      <w:hyperlink r:id="rId7" w:history="1">
        <w:r w:rsidRPr="005632C3">
          <w:rPr>
            <w:rStyle w:val="Hyperlink"/>
            <w:noProof/>
            <w:sz w:val="24"/>
            <w:szCs w:val="24"/>
            <w:lang w:eastAsia="en-AU"/>
          </w:rPr>
          <w:t>rsm88535@bigpond.net.au</w:t>
        </w:r>
      </w:hyperlink>
      <w:r>
        <w:rPr>
          <w:noProof/>
          <w:sz w:val="24"/>
          <w:szCs w:val="24"/>
          <w:lang w:eastAsia="en-AU"/>
        </w:rPr>
        <w:tab/>
      </w:r>
      <w:r>
        <w:rPr>
          <w:noProof/>
          <w:sz w:val="24"/>
          <w:szCs w:val="24"/>
          <w:lang w:eastAsia="en-AU"/>
        </w:rPr>
        <w:tab/>
      </w:r>
      <w:r>
        <w:rPr>
          <w:noProof/>
          <w:sz w:val="24"/>
          <w:szCs w:val="24"/>
          <w:lang w:eastAsia="en-AU"/>
        </w:rPr>
        <w:tab/>
      </w:r>
      <w:r>
        <w:rPr>
          <w:noProof/>
          <w:sz w:val="24"/>
          <w:szCs w:val="24"/>
          <w:lang w:eastAsia="en-AU"/>
        </w:rPr>
        <w:tab/>
      </w:r>
      <w:r>
        <w:rPr>
          <w:noProof/>
          <w:sz w:val="24"/>
          <w:szCs w:val="24"/>
          <w:lang w:eastAsia="en-AU"/>
        </w:rPr>
        <w:tab/>
      </w:r>
      <w:r>
        <w:rPr>
          <w:noProof/>
          <w:sz w:val="24"/>
          <w:szCs w:val="24"/>
          <w:lang w:eastAsia="en-AU"/>
        </w:rPr>
        <w:tab/>
        <w:t xml:space="preserve">Edithvale   </w:t>
      </w:r>
      <w:r w:rsidR="00C95E79">
        <w:rPr>
          <w:noProof/>
          <w:sz w:val="24"/>
          <w:szCs w:val="24"/>
          <w:lang w:eastAsia="en-AU"/>
        </w:rPr>
        <w:t xml:space="preserve">VIC   </w:t>
      </w:r>
      <w:r>
        <w:rPr>
          <w:noProof/>
          <w:sz w:val="24"/>
          <w:szCs w:val="24"/>
          <w:lang w:eastAsia="en-AU"/>
        </w:rPr>
        <w:t>3196</w:t>
      </w:r>
    </w:p>
    <w:p w14:paraId="339870B5" w14:textId="25A21FF8" w:rsidR="00A20D98" w:rsidRDefault="00A32908" w:rsidP="001B262A">
      <w:pPr>
        <w:shd w:val="clear" w:color="auto" w:fill="FFFFFF"/>
        <w:spacing w:after="0"/>
        <w:jc w:val="both"/>
        <w:rPr>
          <w:noProof/>
          <w:sz w:val="24"/>
          <w:szCs w:val="24"/>
          <w:lang w:eastAsia="en-AU"/>
        </w:rPr>
      </w:pPr>
      <w:r>
        <w:rPr>
          <w:noProof/>
          <w:sz w:val="24"/>
          <w:szCs w:val="24"/>
          <w:lang w:eastAsia="en-AU"/>
        </w:rPr>
        <w:tab/>
      </w:r>
      <w:r>
        <w:rPr>
          <w:noProof/>
          <w:sz w:val="24"/>
          <w:szCs w:val="24"/>
          <w:lang w:eastAsia="en-AU"/>
        </w:rPr>
        <w:tab/>
      </w:r>
      <w:r>
        <w:rPr>
          <w:noProof/>
          <w:sz w:val="24"/>
          <w:szCs w:val="24"/>
          <w:lang w:eastAsia="en-AU"/>
        </w:rPr>
        <w:tab/>
      </w:r>
      <w:r>
        <w:rPr>
          <w:noProof/>
          <w:sz w:val="24"/>
          <w:szCs w:val="24"/>
          <w:lang w:eastAsia="en-AU"/>
        </w:rPr>
        <w:tab/>
      </w:r>
      <w:r>
        <w:rPr>
          <w:noProof/>
          <w:sz w:val="24"/>
          <w:szCs w:val="24"/>
          <w:lang w:eastAsia="en-AU"/>
        </w:rPr>
        <w:tab/>
      </w:r>
      <w:r>
        <w:rPr>
          <w:noProof/>
          <w:sz w:val="24"/>
          <w:szCs w:val="24"/>
          <w:lang w:eastAsia="en-AU"/>
        </w:rPr>
        <w:tab/>
      </w:r>
      <w:r>
        <w:rPr>
          <w:noProof/>
          <w:sz w:val="24"/>
          <w:szCs w:val="24"/>
          <w:lang w:eastAsia="en-AU"/>
        </w:rPr>
        <w:tab/>
      </w:r>
      <w:r>
        <w:rPr>
          <w:noProof/>
          <w:sz w:val="24"/>
          <w:szCs w:val="24"/>
          <w:lang w:eastAsia="en-AU"/>
        </w:rPr>
        <w:tab/>
      </w:r>
      <w:r>
        <w:rPr>
          <w:noProof/>
          <w:sz w:val="24"/>
          <w:szCs w:val="24"/>
          <w:lang w:eastAsia="en-AU"/>
        </w:rPr>
        <w:tab/>
      </w:r>
      <w:r>
        <w:rPr>
          <w:noProof/>
          <w:sz w:val="24"/>
          <w:szCs w:val="24"/>
          <w:lang w:eastAsia="en-AU"/>
        </w:rPr>
        <w:tab/>
      </w:r>
      <w:r w:rsidR="00F728C9">
        <w:rPr>
          <w:noProof/>
          <w:sz w:val="24"/>
          <w:szCs w:val="24"/>
          <w:lang w:eastAsia="en-AU"/>
        </w:rPr>
        <w:t>12 July</w:t>
      </w:r>
      <w:r>
        <w:rPr>
          <w:noProof/>
          <w:sz w:val="24"/>
          <w:szCs w:val="24"/>
          <w:lang w:eastAsia="en-AU"/>
        </w:rPr>
        <w:t xml:space="preserve"> 2021</w:t>
      </w:r>
    </w:p>
    <w:p w14:paraId="0172A6C3" w14:textId="77777777" w:rsidR="00A20D98" w:rsidRDefault="00A20D98" w:rsidP="001B262A">
      <w:pPr>
        <w:shd w:val="clear" w:color="auto" w:fill="FFFFFF"/>
        <w:spacing w:after="0"/>
        <w:jc w:val="both"/>
        <w:rPr>
          <w:noProof/>
          <w:sz w:val="24"/>
          <w:szCs w:val="24"/>
          <w:lang w:eastAsia="en-AU"/>
        </w:rPr>
      </w:pPr>
    </w:p>
    <w:p w14:paraId="58F3DCE1" w14:textId="77777777" w:rsidR="00A20D98" w:rsidRDefault="00A20D98" w:rsidP="001B262A">
      <w:pPr>
        <w:shd w:val="clear" w:color="auto" w:fill="FFFFFF"/>
        <w:spacing w:after="0"/>
        <w:jc w:val="both"/>
        <w:rPr>
          <w:noProof/>
          <w:sz w:val="24"/>
          <w:szCs w:val="24"/>
          <w:lang w:eastAsia="en-AU"/>
        </w:rPr>
      </w:pPr>
    </w:p>
    <w:p w14:paraId="0014C58E" w14:textId="5D66173A" w:rsidR="00BF13AB" w:rsidRDefault="00F728C9" w:rsidP="001B262A">
      <w:pPr>
        <w:shd w:val="clear" w:color="auto" w:fill="FFFFFF"/>
        <w:spacing w:after="0"/>
        <w:jc w:val="both"/>
        <w:rPr>
          <w:noProof/>
          <w:sz w:val="24"/>
          <w:szCs w:val="24"/>
          <w:lang w:eastAsia="en-AU"/>
        </w:rPr>
      </w:pPr>
      <w:r>
        <w:rPr>
          <w:noProof/>
          <w:sz w:val="24"/>
          <w:szCs w:val="24"/>
          <w:lang w:eastAsia="en-AU"/>
        </w:rPr>
        <w:t>Senator Hon. Anne Ruston</w:t>
      </w:r>
    </w:p>
    <w:p w14:paraId="3096042E" w14:textId="13713D59" w:rsidR="00F728C9" w:rsidRDefault="00F728C9" w:rsidP="001B262A">
      <w:pPr>
        <w:shd w:val="clear" w:color="auto" w:fill="FFFFFF"/>
        <w:spacing w:after="0"/>
        <w:jc w:val="both"/>
        <w:rPr>
          <w:noProof/>
          <w:sz w:val="24"/>
          <w:szCs w:val="24"/>
          <w:lang w:eastAsia="en-AU"/>
        </w:rPr>
      </w:pPr>
      <w:r>
        <w:rPr>
          <w:noProof/>
          <w:sz w:val="24"/>
          <w:szCs w:val="24"/>
          <w:lang w:eastAsia="en-AU"/>
        </w:rPr>
        <w:t>Minister for Families &amp; Social Services</w:t>
      </w:r>
    </w:p>
    <w:p w14:paraId="34CE9F82" w14:textId="77777777" w:rsidR="00F728C9" w:rsidRDefault="00A20D98" w:rsidP="001B262A">
      <w:pPr>
        <w:shd w:val="clear" w:color="auto" w:fill="FFFFFF"/>
        <w:spacing w:after="0"/>
        <w:jc w:val="both"/>
        <w:rPr>
          <w:noProof/>
          <w:sz w:val="24"/>
          <w:szCs w:val="24"/>
          <w:lang w:eastAsia="en-AU"/>
        </w:rPr>
      </w:pPr>
      <w:r>
        <w:rPr>
          <w:noProof/>
          <w:sz w:val="24"/>
          <w:szCs w:val="24"/>
          <w:lang w:eastAsia="en-AU"/>
        </w:rPr>
        <w:t>PO Box 6</w:t>
      </w:r>
      <w:r w:rsidR="002A1E4D">
        <w:rPr>
          <w:noProof/>
          <w:sz w:val="24"/>
          <w:szCs w:val="24"/>
          <w:lang w:eastAsia="en-AU"/>
        </w:rPr>
        <w:t>022</w:t>
      </w:r>
    </w:p>
    <w:p w14:paraId="421A41FB" w14:textId="51AE1FF4" w:rsidR="00876A50" w:rsidRDefault="00F728C9" w:rsidP="001B262A">
      <w:pPr>
        <w:shd w:val="clear" w:color="auto" w:fill="FFFFFF"/>
        <w:spacing w:after="0"/>
        <w:jc w:val="both"/>
        <w:rPr>
          <w:noProof/>
          <w:sz w:val="24"/>
          <w:szCs w:val="24"/>
          <w:lang w:eastAsia="en-AU"/>
        </w:rPr>
      </w:pPr>
      <w:r>
        <w:rPr>
          <w:noProof/>
          <w:sz w:val="24"/>
          <w:szCs w:val="24"/>
          <w:lang w:eastAsia="en-AU"/>
        </w:rPr>
        <w:t>Senate</w:t>
      </w:r>
      <w:r w:rsidR="00A20D98">
        <w:rPr>
          <w:noProof/>
          <w:sz w:val="24"/>
          <w:szCs w:val="24"/>
          <w:lang w:eastAsia="en-AU"/>
        </w:rPr>
        <w:t>, Parliament House</w:t>
      </w:r>
    </w:p>
    <w:p w14:paraId="2663BA7E" w14:textId="2C33C888" w:rsidR="00A20D98" w:rsidRDefault="00A20D98" w:rsidP="001B262A">
      <w:pPr>
        <w:shd w:val="clear" w:color="auto" w:fill="FFFFFF"/>
        <w:spacing w:after="0"/>
        <w:jc w:val="both"/>
        <w:rPr>
          <w:noProof/>
          <w:sz w:val="24"/>
          <w:szCs w:val="24"/>
          <w:lang w:eastAsia="en-AU"/>
        </w:rPr>
      </w:pPr>
      <w:r>
        <w:rPr>
          <w:noProof/>
          <w:sz w:val="24"/>
          <w:szCs w:val="24"/>
          <w:lang w:eastAsia="en-AU"/>
        </w:rPr>
        <w:t>Canberra   ACT   2600</w:t>
      </w:r>
    </w:p>
    <w:p w14:paraId="40650A56" w14:textId="5285A2F6" w:rsidR="00876A50" w:rsidRDefault="00876A50" w:rsidP="001B262A">
      <w:pPr>
        <w:shd w:val="clear" w:color="auto" w:fill="FFFFFF"/>
        <w:spacing w:after="0"/>
        <w:jc w:val="both"/>
        <w:rPr>
          <w:noProof/>
          <w:sz w:val="24"/>
          <w:szCs w:val="24"/>
          <w:lang w:eastAsia="en-AU"/>
        </w:rPr>
      </w:pPr>
    </w:p>
    <w:p w14:paraId="634B3901" w14:textId="57D6D845" w:rsidR="00876A50" w:rsidRDefault="00876A50" w:rsidP="001B262A">
      <w:pPr>
        <w:shd w:val="clear" w:color="auto" w:fill="FFFFFF"/>
        <w:spacing w:after="0"/>
        <w:jc w:val="both"/>
        <w:rPr>
          <w:noProof/>
          <w:sz w:val="24"/>
          <w:szCs w:val="24"/>
          <w:lang w:eastAsia="en-AU"/>
        </w:rPr>
      </w:pPr>
    </w:p>
    <w:p w14:paraId="1C4E0483" w14:textId="37546D98" w:rsidR="00876A50" w:rsidRPr="004B2C93" w:rsidRDefault="004B2C93" w:rsidP="00A32908">
      <w:pPr>
        <w:shd w:val="clear" w:color="auto" w:fill="FFFFFF"/>
        <w:spacing w:after="0"/>
        <w:jc w:val="center"/>
        <w:rPr>
          <w:b/>
          <w:bCs/>
          <w:noProof/>
          <w:sz w:val="24"/>
          <w:szCs w:val="24"/>
          <w:u w:val="single"/>
          <w:lang w:eastAsia="en-AU"/>
        </w:rPr>
      </w:pPr>
      <w:r w:rsidRPr="004B2C93">
        <w:rPr>
          <w:b/>
          <w:bCs/>
          <w:noProof/>
          <w:sz w:val="24"/>
          <w:szCs w:val="24"/>
          <w:u w:val="single"/>
          <w:lang w:eastAsia="en-AU"/>
        </w:rPr>
        <w:t>CASHLESS DEBIT CARD – Contin</w:t>
      </w:r>
      <w:r>
        <w:rPr>
          <w:b/>
          <w:bCs/>
          <w:noProof/>
          <w:sz w:val="24"/>
          <w:szCs w:val="24"/>
          <w:u w:val="single"/>
          <w:lang w:eastAsia="en-AU"/>
        </w:rPr>
        <w:t>u</w:t>
      </w:r>
      <w:r w:rsidRPr="004B2C93">
        <w:rPr>
          <w:b/>
          <w:bCs/>
          <w:noProof/>
          <w:sz w:val="24"/>
          <w:szCs w:val="24"/>
          <w:u w:val="single"/>
          <w:lang w:eastAsia="en-AU"/>
        </w:rPr>
        <w:t>ing Trials</w:t>
      </w:r>
    </w:p>
    <w:p w14:paraId="147E365D" w14:textId="48F842C2" w:rsidR="00876A50" w:rsidRDefault="00876A50" w:rsidP="001B262A">
      <w:pPr>
        <w:shd w:val="clear" w:color="auto" w:fill="FFFFFF"/>
        <w:spacing w:after="0"/>
        <w:jc w:val="both"/>
        <w:rPr>
          <w:noProof/>
          <w:sz w:val="24"/>
          <w:szCs w:val="24"/>
          <w:lang w:eastAsia="en-AU"/>
        </w:rPr>
      </w:pPr>
    </w:p>
    <w:p w14:paraId="66321E09" w14:textId="2BB73EA6" w:rsidR="00876A50" w:rsidRDefault="00876A50" w:rsidP="001B262A">
      <w:pPr>
        <w:shd w:val="clear" w:color="auto" w:fill="FFFFFF"/>
        <w:spacing w:after="0"/>
        <w:jc w:val="both"/>
        <w:rPr>
          <w:noProof/>
          <w:sz w:val="24"/>
          <w:szCs w:val="24"/>
          <w:lang w:eastAsia="en-AU"/>
        </w:rPr>
      </w:pPr>
    </w:p>
    <w:p w14:paraId="2FEB380E" w14:textId="2807409C" w:rsidR="00876A50" w:rsidRDefault="00A32908" w:rsidP="001B262A">
      <w:pPr>
        <w:shd w:val="clear" w:color="auto" w:fill="FFFFFF"/>
        <w:spacing w:after="0"/>
        <w:jc w:val="both"/>
        <w:rPr>
          <w:noProof/>
          <w:sz w:val="24"/>
          <w:szCs w:val="24"/>
          <w:lang w:eastAsia="en-AU"/>
        </w:rPr>
      </w:pPr>
      <w:r>
        <w:rPr>
          <w:noProof/>
          <w:sz w:val="24"/>
          <w:szCs w:val="24"/>
          <w:lang w:eastAsia="en-AU"/>
        </w:rPr>
        <w:tab/>
        <w:t xml:space="preserve">The </w:t>
      </w:r>
      <w:r w:rsidRPr="00B15506">
        <w:rPr>
          <w:b/>
          <w:bCs/>
          <w:noProof/>
          <w:sz w:val="24"/>
          <w:szCs w:val="24"/>
          <w:lang w:eastAsia="en-AU"/>
        </w:rPr>
        <w:t>ACTU Retired Unionists Network (RUN</w:t>
      </w:r>
      <w:r>
        <w:rPr>
          <w:noProof/>
          <w:sz w:val="24"/>
          <w:szCs w:val="24"/>
          <w:lang w:eastAsia="en-AU"/>
        </w:rPr>
        <w:t xml:space="preserve">) meets regularly to discuss industrial and social issues of interest to retired unionists, including such issues as </w:t>
      </w:r>
      <w:r w:rsidR="004B2C93">
        <w:rPr>
          <w:noProof/>
          <w:sz w:val="24"/>
          <w:szCs w:val="24"/>
          <w:lang w:eastAsia="en-AU"/>
        </w:rPr>
        <w:t>the Cashless Debit Card</w:t>
      </w:r>
      <w:r>
        <w:rPr>
          <w:noProof/>
          <w:sz w:val="24"/>
          <w:szCs w:val="24"/>
          <w:lang w:eastAsia="en-AU"/>
        </w:rPr>
        <w:t xml:space="preserve">. At its last meeting. RUN members asked me to write to you to express our concerns about this </w:t>
      </w:r>
      <w:r w:rsidR="00414726">
        <w:rPr>
          <w:noProof/>
          <w:sz w:val="24"/>
          <w:szCs w:val="24"/>
          <w:lang w:eastAsia="en-AU"/>
        </w:rPr>
        <w:t>issue</w:t>
      </w:r>
      <w:r>
        <w:rPr>
          <w:noProof/>
          <w:sz w:val="24"/>
          <w:szCs w:val="24"/>
          <w:lang w:eastAsia="en-AU"/>
        </w:rPr>
        <w:t>.</w:t>
      </w:r>
    </w:p>
    <w:p w14:paraId="32CB8EBC" w14:textId="462F8E80" w:rsidR="00876A50" w:rsidRDefault="00876A50" w:rsidP="001B262A">
      <w:pPr>
        <w:shd w:val="clear" w:color="auto" w:fill="FFFFFF"/>
        <w:spacing w:after="0"/>
        <w:jc w:val="both"/>
        <w:rPr>
          <w:noProof/>
          <w:sz w:val="24"/>
          <w:szCs w:val="24"/>
          <w:lang w:eastAsia="en-AU"/>
        </w:rPr>
      </w:pPr>
    </w:p>
    <w:p w14:paraId="63AE9B61" w14:textId="5BE6147E" w:rsidR="00876A50" w:rsidRDefault="00A32908" w:rsidP="001B262A">
      <w:pPr>
        <w:shd w:val="clear" w:color="auto" w:fill="FFFFFF"/>
        <w:spacing w:after="0"/>
        <w:jc w:val="both"/>
        <w:rPr>
          <w:noProof/>
          <w:sz w:val="24"/>
          <w:szCs w:val="24"/>
          <w:lang w:eastAsia="en-AU"/>
        </w:rPr>
      </w:pPr>
      <w:r>
        <w:rPr>
          <w:noProof/>
          <w:sz w:val="24"/>
          <w:szCs w:val="24"/>
          <w:lang w:eastAsia="en-AU"/>
        </w:rPr>
        <w:tab/>
      </w:r>
      <w:r w:rsidR="00414726">
        <w:rPr>
          <w:noProof/>
          <w:sz w:val="24"/>
          <w:szCs w:val="24"/>
          <w:lang w:eastAsia="en-AU"/>
        </w:rPr>
        <w:t xml:space="preserve">As you know, the </w:t>
      </w:r>
      <w:r w:rsidR="00414726" w:rsidRPr="009F26E3">
        <w:rPr>
          <w:b/>
          <w:bCs/>
          <w:noProof/>
          <w:sz w:val="24"/>
          <w:szCs w:val="24"/>
          <w:lang w:eastAsia="en-AU"/>
        </w:rPr>
        <w:t>Cashless Debit Card</w:t>
      </w:r>
      <w:r w:rsidR="00414726">
        <w:rPr>
          <w:noProof/>
          <w:sz w:val="24"/>
          <w:szCs w:val="24"/>
          <w:lang w:eastAsia="en-AU"/>
        </w:rPr>
        <w:t xml:space="preserve"> </w:t>
      </w:r>
      <w:r w:rsidR="009F26E3">
        <w:rPr>
          <w:noProof/>
          <w:sz w:val="24"/>
          <w:szCs w:val="24"/>
          <w:lang w:eastAsia="en-AU"/>
        </w:rPr>
        <w:t xml:space="preserve">(CDC) </w:t>
      </w:r>
      <w:r w:rsidR="009E4589">
        <w:rPr>
          <w:noProof/>
          <w:sz w:val="24"/>
          <w:szCs w:val="24"/>
          <w:lang w:eastAsia="en-AU"/>
        </w:rPr>
        <w:t>c</w:t>
      </w:r>
      <w:r w:rsidR="00414726">
        <w:rPr>
          <w:noProof/>
          <w:sz w:val="24"/>
          <w:szCs w:val="24"/>
          <w:lang w:eastAsia="en-AU"/>
        </w:rPr>
        <w:t>urrently operates in six sites throughout Australia and was designed to prevent income support recipients</w:t>
      </w:r>
      <w:r w:rsidR="009F26E3">
        <w:rPr>
          <w:noProof/>
          <w:sz w:val="24"/>
          <w:szCs w:val="24"/>
          <w:lang w:eastAsia="en-AU"/>
        </w:rPr>
        <w:t xml:space="preserve"> from spending income support payments on alcohol, illicit drugs or gambling</w:t>
      </w:r>
      <w:r w:rsidR="009E4589">
        <w:rPr>
          <w:noProof/>
          <w:sz w:val="24"/>
          <w:szCs w:val="24"/>
          <w:lang w:eastAsia="en-AU"/>
        </w:rPr>
        <w:t>,</w:t>
      </w:r>
      <w:r w:rsidR="009F26E3">
        <w:rPr>
          <w:noProof/>
          <w:sz w:val="24"/>
          <w:szCs w:val="24"/>
          <w:lang w:eastAsia="en-AU"/>
        </w:rPr>
        <w:t xml:space="preserve"> by quarantining 80% of such payments on to a debit card (issued by Indue Bank) and providing the other 20% in cash</w:t>
      </w:r>
      <w:r w:rsidR="009E4589">
        <w:rPr>
          <w:noProof/>
          <w:sz w:val="24"/>
          <w:szCs w:val="24"/>
          <w:lang w:eastAsia="en-AU"/>
        </w:rPr>
        <w:t xml:space="preserve"> (or cash equivalent)</w:t>
      </w:r>
      <w:r w:rsidR="009F26E3">
        <w:rPr>
          <w:noProof/>
          <w:sz w:val="24"/>
          <w:szCs w:val="24"/>
          <w:lang w:eastAsia="en-AU"/>
        </w:rPr>
        <w:t>. As at 2 April 2021, there were 10,747 participants in the four initial sites and an unknown number in the remaining two sites (which commenced on 17 March 2021).</w:t>
      </w:r>
    </w:p>
    <w:p w14:paraId="28D42515" w14:textId="77777777" w:rsidR="009F26E3" w:rsidRDefault="009F26E3" w:rsidP="001B262A">
      <w:pPr>
        <w:shd w:val="clear" w:color="auto" w:fill="FFFFFF"/>
        <w:spacing w:after="0"/>
        <w:jc w:val="both"/>
        <w:rPr>
          <w:noProof/>
          <w:sz w:val="24"/>
          <w:szCs w:val="24"/>
          <w:lang w:eastAsia="en-AU"/>
        </w:rPr>
      </w:pPr>
    </w:p>
    <w:p w14:paraId="3F037952" w14:textId="2786DA3C" w:rsidR="00AC1371" w:rsidRDefault="00AC1371" w:rsidP="001B262A">
      <w:pPr>
        <w:shd w:val="clear" w:color="auto" w:fill="FFFFFF"/>
        <w:spacing w:after="0"/>
        <w:jc w:val="both"/>
        <w:rPr>
          <w:noProof/>
          <w:sz w:val="24"/>
          <w:szCs w:val="24"/>
          <w:lang w:eastAsia="en-AU"/>
        </w:rPr>
      </w:pPr>
      <w:r>
        <w:rPr>
          <w:noProof/>
          <w:sz w:val="24"/>
          <w:szCs w:val="24"/>
          <w:lang w:eastAsia="en-AU"/>
        </w:rPr>
        <w:tab/>
        <w:t>Briefly, our concerns may be summarised as follows:</w:t>
      </w:r>
    </w:p>
    <w:p w14:paraId="7B6F018A" w14:textId="77777777" w:rsidR="00AC1371" w:rsidRDefault="00AC1371" w:rsidP="001B262A">
      <w:pPr>
        <w:shd w:val="clear" w:color="auto" w:fill="FFFFFF"/>
        <w:spacing w:after="0"/>
        <w:jc w:val="both"/>
        <w:rPr>
          <w:noProof/>
          <w:sz w:val="24"/>
          <w:szCs w:val="24"/>
          <w:lang w:eastAsia="en-AU"/>
        </w:rPr>
      </w:pPr>
    </w:p>
    <w:p w14:paraId="582FA46F" w14:textId="7BA8764D" w:rsidR="00876A50" w:rsidRPr="00A32908" w:rsidRDefault="009F26E3" w:rsidP="00A32908">
      <w:pPr>
        <w:pStyle w:val="ListParagraph"/>
        <w:numPr>
          <w:ilvl w:val="0"/>
          <w:numId w:val="6"/>
        </w:numPr>
        <w:shd w:val="clear" w:color="auto" w:fill="FFFFFF"/>
        <w:spacing w:after="0"/>
        <w:jc w:val="both"/>
        <w:rPr>
          <w:noProof/>
          <w:sz w:val="24"/>
          <w:szCs w:val="24"/>
          <w:lang w:eastAsia="en-AU"/>
        </w:rPr>
      </w:pPr>
      <w:r>
        <w:rPr>
          <w:b/>
          <w:bCs/>
          <w:noProof/>
          <w:sz w:val="24"/>
          <w:szCs w:val="24"/>
          <w:lang w:eastAsia="en-AU"/>
        </w:rPr>
        <w:t xml:space="preserve">It is largely ineffective - </w:t>
      </w:r>
      <w:r w:rsidR="00AC1371">
        <w:rPr>
          <w:noProof/>
          <w:sz w:val="24"/>
          <w:szCs w:val="24"/>
          <w:lang w:eastAsia="en-AU"/>
        </w:rPr>
        <w:t xml:space="preserve"> </w:t>
      </w:r>
      <w:r w:rsidR="00F27F26">
        <w:rPr>
          <w:noProof/>
          <w:sz w:val="24"/>
          <w:szCs w:val="24"/>
          <w:lang w:eastAsia="en-AU"/>
        </w:rPr>
        <w:t xml:space="preserve">an </w:t>
      </w:r>
      <w:r>
        <w:rPr>
          <w:noProof/>
          <w:sz w:val="24"/>
          <w:szCs w:val="24"/>
          <w:lang w:eastAsia="en-AU"/>
        </w:rPr>
        <w:t>evaluation of CDC was unable to find</w:t>
      </w:r>
      <w:r w:rsidR="00F27F26">
        <w:rPr>
          <w:noProof/>
          <w:sz w:val="24"/>
          <w:szCs w:val="24"/>
          <w:lang w:eastAsia="en-AU"/>
        </w:rPr>
        <w:t xml:space="preserve"> “any substantive evidence of the program having sigificant changes relative to its key policy objectives, including changing people’s behaviours”. There was no evidence of changes in spending patterns, no evidence of improved financial wellbeing and no improvement of community wellbeing, including for children.</w:t>
      </w:r>
      <w:r w:rsidR="008A1B9D">
        <w:rPr>
          <w:noProof/>
          <w:sz w:val="24"/>
          <w:szCs w:val="24"/>
          <w:lang w:eastAsia="en-AU"/>
        </w:rPr>
        <w:t xml:space="preserve"> Moreover, the CDC is easily circumvented</w:t>
      </w:r>
      <w:r w:rsidR="009E4589">
        <w:rPr>
          <w:noProof/>
          <w:sz w:val="24"/>
          <w:szCs w:val="24"/>
          <w:lang w:eastAsia="en-AU"/>
        </w:rPr>
        <w:t xml:space="preserve"> by participants</w:t>
      </w:r>
      <w:r w:rsidR="008A1B9D">
        <w:rPr>
          <w:noProof/>
          <w:sz w:val="24"/>
          <w:szCs w:val="24"/>
          <w:lang w:eastAsia="en-AU"/>
        </w:rPr>
        <w:t>.</w:t>
      </w:r>
    </w:p>
    <w:p w14:paraId="1C61D946" w14:textId="70D91F3B" w:rsidR="00876A50" w:rsidRDefault="00876A50" w:rsidP="001B262A">
      <w:pPr>
        <w:shd w:val="clear" w:color="auto" w:fill="FFFFFF"/>
        <w:spacing w:after="0"/>
        <w:jc w:val="both"/>
        <w:rPr>
          <w:noProof/>
          <w:sz w:val="24"/>
          <w:szCs w:val="24"/>
          <w:lang w:eastAsia="en-AU"/>
        </w:rPr>
      </w:pPr>
    </w:p>
    <w:p w14:paraId="2FA793C1" w14:textId="1A75137F" w:rsidR="00F27F26" w:rsidRPr="008A1B9D" w:rsidRDefault="00F27F26" w:rsidP="00F27F26">
      <w:pPr>
        <w:pStyle w:val="ListParagraph"/>
        <w:numPr>
          <w:ilvl w:val="0"/>
          <w:numId w:val="6"/>
        </w:numPr>
        <w:shd w:val="clear" w:color="auto" w:fill="FFFFFF"/>
        <w:spacing w:after="0"/>
        <w:jc w:val="both"/>
        <w:rPr>
          <w:noProof/>
          <w:sz w:val="24"/>
          <w:szCs w:val="24"/>
          <w:lang w:eastAsia="en-AU"/>
        </w:rPr>
      </w:pPr>
      <w:r w:rsidRPr="00F27F26">
        <w:rPr>
          <w:b/>
          <w:bCs/>
          <w:noProof/>
          <w:sz w:val="24"/>
          <w:szCs w:val="24"/>
          <w:lang w:eastAsia="en-AU"/>
        </w:rPr>
        <w:t>It is punitive</w:t>
      </w:r>
      <w:r>
        <w:rPr>
          <w:noProof/>
          <w:sz w:val="24"/>
          <w:szCs w:val="24"/>
          <w:lang w:eastAsia="en-AU"/>
        </w:rPr>
        <w:t xml:space="preserve"> – 78% of those on CDC identify as being ATSI</w:t>
      </w:r>
      <w:r w:rsidR="008A1B9D">
        <w:rPr>
          <w:noProof/>
          <w:sz w:val="24"/>
          <w:szCs w:val="24"/>
          <w:lang w:eastAsia="en-AU"/>
        </w:rPr>
        <w:t xml:space="preserve">, 75% of those on CDC did not change their behaviour in relation to drugs, alcohol or gambling, 34% of those on CDC did not drink at all and 43% of those on CDC said that their lives had become worse, since the introduction of the card. The CDC excludes people from ‘the cash economy’ </w:t>
      </w:r>
      <w:r w:rsidR="00EE0013">
        <w:rPr>
          <w:noProof/>
          <w:sz w:val="24"/>
          <w:szCs w:val="24"/>
          <w:lang w:eastAsia="en-AU"/>
        </w:rPr>
        <w:t xml:space="preserve">- </w:t>
      </w:r>
      <w:r w:rsidR="008A1B9D">
        <w:rPr>
          <w:noProof/>
          <w:sz w:val="24"/>
          <w:szCs w:val="24"/>
          <w:lang w:eastAsia="en-AU"/>
        </w:rPr>
        <w:t xml:space="preserve">including </w:t>
      </w:r>
      <w:r w:rsidR="00262712">
        <w:rPr>
          <w:noProof/>
          <w:sz w:val="24"/>
          <w:szCs w:val="24"/>
          <w:lang w:eastAsia="en-AU"/>
        </w:rPr>
        <w:t>second</w:t>
      </w:r>
      <w:r w:rsidR="008A1B9D">
        <w:rPr>
          <w:noProof/>
          <w:sz w:val="24"/>
          <w:szCs w:val="24"/>
          <w:lang w:eastAsia="en-AU"/>
        </w:rPr>
        <w:t xml:space="preserve"> </w:t>
      </w:r>
      <w:r w:rsidR="00262712">
        <w:rPr>
          <w:noProof/>
          <w:sz w:val="24"/>
          <w:szCs w:val="24"/>
          <w:lang w:eastAsia="en-AU"/>
        </w:rPr>
        <w:t>hand</w:t>
      </w:r>
      <w:r w:rsidR="008A1B9D">
        <w:rPr>
          <w:noProof/>
          <w:sz w:val="24"/>
          <w:szCs w:val="24"/>
          <w:lang w:eastAsia="en-AU"/>
        </w:rPr>
        <w:t xml:space="preserve"> markets and garage sales </w:t>
      </w:r>
      <w:r w:rsidR="00EE0013">
        <w:rPr>
          <w:noProof/>
          <w:sz w:val="24"/>
          <w:szCs w:val="24"/>
          <w:lang w:eastAsia="en-AU"/>
        </w:rPr>
        <w:t xml:space="preserve">- </w:t>
      </w:r>
      <w:r w:rsidR="008A1B9D">
        <w:rPr>
          <w:noProof/>
          <w:sz w:val="24"/>
          <w:szCs w:val="24"/>
          <w:lang w:eastAsia="en-AU"/>
        </w:rPr>
        <w:t xml:space="preserve">and thus works to prevent people from maximising </w:t>
      </w:r>
      <w:r w:rsidR="00262712">
        <w:rPr>
          <w:noProof/>
          <w:sz w:val="24"/>
          <w:szCs w:val="24"/>
          <w:lang w:eastAsia="en-AU"/>
        </w:rPr>
        <w:t xml:space="preserve">the benefit of </w:t>
      </w:r>
      <w:r w:rsidR="008A1B9D">
        <w:rPr>
          <w:noProof/>
          <w:sz w:val="24"/>
          <w:szCs w:val="24"/>
          <w:lang w:eastAsia="en-AU"/>
        </w:rPr>
        <w:t>their meagre financial resources.</w:t>
      </w:r>
    </w:p>
    <w:p w14:paraId="3951232A" w14:textId="73E3FBFD" w:rsidR="00876A50" w:rsidRPr="00E54237" w:rsidRDefault="00E54237" w:rsidP="00E54237">
      <w:pPr>
        <w:pStyle w:val="ListParagraph"/>
        <w:shd w:val="clear" w:color="auto" w:fill="FFFFFF"/>
        <w:spacing w:after="0"/>
        <w:ind w:left="0"/>
        <w:jc w:val="center"/>
        <w:rPr>
          <w:b/>
          <w:bCs/>
          <w:noProof/>
          <w:sz w:val="24"/>
          <w:szCs w:val="24"/>
          <w:lang w:eastAsia="en-AU"/>
        </w:rPr>
      </w:pPr>
      <w:r w:rsidRPr="00E54237">
        <w:rPr>
          <w:b/>
          <w:bCs/>
          <w:noProof/>
          <w:sz w:val="24"/>
          <w:szCs w:val="24"/>
          <w:lang w:eastAsia="en-AU"/>
        </w:rPr>
        <w:lastRenderedPageBreak/>
        <w:t>- 2 -</w:t>
      </w:r>
    </w:p>
    <w:p w14:paraId="4B429172" w14:textId="53D2A325" w:rsidR="00876A50" w:rsidRDefault="00876A50" w:rsidP="001B262A">
      <w:pPr>
        <w:shd w:val="clear" w:color="auto" w:fill="FFFFFF"/>
        <w:spacing w:after="0"/>
        <w:jc w:val="both"/>
        <w:rPr>
          <w:noProof/>
          <w:sz w:val="24"/>
          <w:szCs w:val="24"/>
          <w:lang w:eastAsia="en-AU"/>
        </w:rPr>
      </w:pPr>
    </w:p>
    <w:p w14:paraId="52C9AF63" w14:textId="4C446669" w:rsidR="00876A50" w:rsidRDefault="00876A50" w:rsidP="001B262A">
      <w:pPr>
        <w:shd w:val="clear" w:color="auto" w:fill="FFFFFF"/>
        <w:spacing w:after="0"/>
        <w:jc w:val="both"/>
        <w:rPr>
          <w:noProof/>
          <w:sz w:val="24"/>
          <w:szCs w:val="24"/>
          <w:lang w:eastAsia="en-AU"/>
        </w:rPr>
      </w:pPr>
    </w:p>
    <w:p w14:paraId="085CE387" w14:textId="6E916CB6" w:rsidR="00876A50" w:rsidRDefault="00876A50" w:rsidP="001B262A">
      <w:pPr>
        <w:shd w:val="clear" w:color="auto" w:fill="FFFFFF"/>
        <w:spacing w:after="0"/>
        <w:jc w:val="both"/>
        <w:rPr>
          <w:noProof/>
          <w:sz w:val="24"/>
          <w:szCs w:val="24"/>
          <w:lang w:eastAsia="en-AU"/>
        </w:rPr>
      </w:pPr>
    </w:p>
    <w:p w14:paraId="5C046492" w14:textId="1C876020" w:rsidR="00876A50" w:rsidRPr="00E54237" w:rsidRDefault="008A1B9D" w:rsidP="00E54237">
      <w:pPr>
        <w:pStyle w:val="ListParagraph"/>
        <w:numPr>
          <w:ilvl w:val="0"/>
          <w:numId w:val="11"/>
        </w:numPr>
        <w:shd w:val="clear" w:color="auto" w:fill="FFFFFF"/>
        <w:spacing w:after="0"/>
        <w:jc w:val="both"/>
        <w:rPr>
          <w:noProof/>
          <w:sz w:val="24"/>
          <w:szCs w:val="24"/>
          <w:lang w:eastAsia="en-AU"/>
        </w:rPr>
      </w:pPr>
      <w:r w:rsidRPr="008A1B9D">
        <w:rPr>
          <w:b/>
          <w:bCs/>
          <w:noProof/>
          <w:sz w:val="24"/>
          <w:szCs w:val="24"/>
          <w:lang w:eastAsia="en-AU"/>
        </w:rPr>
        <w:t>It is anti-welfare</w:t>
      </w:r>
      <w:r>
        <w:rPr>
          <w:noProof/>
          <w:sz w:val="24"/>
          <w:szCs w:val="24"/>
          <w:lang w:eastAsia="en-AU"/>
        </w:rPr>
        <w:t xml:space="preserve"> -</w:t>
      </w:r>
      <w:r w:rsidR="00262712">
        <w:rPr>
          <w:noProof/>
          <w:sz w:val="24"/>
          <w:szCs w:val="24"/>
          <w:lang w:eastAsia="en-AU"/>
        </w:rPr>
        <w:t xml:space="preserve"> research has found that being a CDC participant is stigmatising, it diminishes individual agency and criminalises any use of the card outside its strict guidelines</w:t>
      </w:r>
      <w:r w:rsidR="00400F83">
        <w:rPr>
          <w:noProof/>
          <w:sz w:val="24"/>
          <w:szCs w:val="24"/>
          <w:lang w:eastAsia="en-AU"/>
        </w:rPr>
        <w:t>.</w:t>
      </w:r>
      <w:r w:rsidR="00262712">
        <w:rPr>
          <w:noProof/>
          <w:sz w:val="24"/>
          <w:szCs w:val="24"/>
          <w:lang w:eastAsia="en-AU"/>
        </w:rPr>
        <w:t xml:space="preserve"> CDC participants have described the card as “demeaning, racist, dehumanising and giving you no independence to make your own decisions”.</w:t>
      </w:r>
    </w:p>
    <w:p w14:paraId="3B96F268" w14:textId="107F6D91" w:rsidR="00876A50" w:rsidRDefault="00876A50" w:rsidP="001B262A">
      <w:pPr>
        <w:shd w:val="clear" w:color="auto" w:fill="FFFFFF"/>
        <w:spacing w:after="0"/>
        <w:jc w:val="both"/>
        <w:rPr>
          <w:noProof/>
          <w:sz w:val="24"/>
          <w:szCs w:val="24"/>
          <w:lang w:eastAsia="en-AU"/>
        </w:rPr>
      </w:pPr>
    </w:p>
    <w:p w14:paraId="0121562A" w14:textId="5438C3E3" w:rsidR="00262712" w:rsidRPr="00E54237" w:rsidRDefault="00EE0013" w:rsidP="00262712">
      <w:pPr>
        <w:pStyle w:val="ListParagraph"/>
        <w:numPr>
          <w:ilvl w:val="0"/>
          <w:numId w:val="11"/>
        </w:numPr>
        <w:shd w:val="clear" w:color="auto" w:fill="FFFFFF"/>
        <w:spacing w:after="0"/>
        <w:jc w:val="both"/>
        <w:rPr>
          <w:noProof/>
          <w:sz w:val="24"/>
          <w:szCs w:val="24"/>
          <w:lang w:eastAsia="en-AU"/>
        </w:rPr>
      </w:pPr>
      <w:r w:rsidRPr="00EE0013">
        <w:rPr>
          <w:b/>
          <w:bCs/>
          <w:noProof/>
          <w:sz w:val="24"/>
          <w:szCs w:val="24"/>
          <w:lang w:eastAsia="en-AU"/>
        </w:rPr>
        <w:t>It is expensive for the taxpayer</w:t>
      </w:r>
      <w:r>
        <w:rPr>
          <w:noProof/>
          <w:sz w:val="24"/>
          <w:szCs w:val="24"/>
          <w:lang w:eastAsia="en-AU"/>
        </w:rPr>
        <w:t xml:space="preserve"> – on the CDC trial (in the four initial sites), the government spent nearly $18.9 M (over $10,000 per participant), of which $9.8 M was paid to Indue Bank. Expanding the CDC to more communities will simply increase the wealth of private entities like Indue as well as the overall cost of social security</w:t>
      </w:r>
      <w:r w:rsidR="009E4589">
        <w:rPr>
          <w:noProof/>
          <w:sz w:val="24"/>
          <w:szCs w:val="24"/>
          <w:lang w:eastAsia="en-AU"/>
        </w:rPr>
        <w:t xml:space="preserve"> provision – yet without providing any tangible benefits  to the individuals and communities impacted by the CDC. </w:t>
      </w:r>
    </w:p>
    <w:p w14:paraId="58D23843" w14:textId="77777777" w:rsidR="00262712" w:rsidRDefault="00262712" w:rsidP="001B262A">
      <w:pPr>
        <w:shd w:val="clear" w:color="auto" w:fill="FFFFFF"/>
        <w:spacing w:after="0"/>
        <w:jc w:val="both"/>
        <w:rPr>
          <w:noProof/>
          <w:sz w:val="24"/>
          <w:szCs w:val="24"/>
          <w:lang w:eastAsia="en-AU"/>
        </w:rPr>
      </w:pPr>
    </w:p>
    <w:p w14:paraId="13AD4FFF" w14:textId="420B7E7A" w:rsidR="00876A50" w:rsidRDefault="009E4589" w:rsidP="00713EB0">
      <w:pPr>
        <w:shd w:val="clear" w:color="auto" w:fill="FFFFFF"/>
        <w:spacing w:after="0"/>
        <w:ind w:firstLine="720"/>
        <w:jc w:val="both"/>
        <w:rPr>
          <w:noProof/>
          <w:sz w:val="24"/>
          <w:szCs w:val="24"/>
          <w:lang w:eastAsia="en-AU"/>
        </w:rPr>
      </w:pPr>
      <w:r>
        <w:rPr>
          <w:noProof/>
          <w:sz w:val="24"/>
          <w:szCs w:val="24"/>
          <w:lang w:eastAsia="en-AU"/>
        </w:rPr>
        <w:t>We call on the Federal Government to re-appraise fundamentally this Cashless Debit Card and to provide in lieu a range of community support measures which really will improve outcomes for income support participants</w:t>
      </w:r>
      <w:r w:rsidR="00975F70">
        <w:rPr>
          <w:noProof/>
          <w:sz w:val="24"/>
          <w:szCs w:val="24"/>
          <w:lang w:eastAsia="en-AU"/>
        </w:rPr>
        <w:t xml:space="preserve"> and for their communities</w:t>
      </w:r>
      <w:r>
        <w:rPr>
          <w:noProof/>
          <w:sz w:val="24"/>
          <w:szCs w:val="24"/>
          <w:lang w:eastAsia="en-AU"/>
        </w:rPr>
        <w:t>.</w:t>
      </w:r>
    </w:p>
    <w:p w14:paraId="6497FD59" w14:textId="35DF393E" w:rsidR="00876A50" w:rsidRDefault="00876A50" w:rsidP="001B262A">
      <w:pPr>
        <w:shd w:val="clear" w:color="auto" w:fill="FFFFFF"/>
        <w:spacing w:after="0"/>
        <w:jc w:val="both"/>
        <w:rPr>
          <w:noProof/>
          <w:sz w:val="24"/>
          <w:szCs w:val="24"/>
          <w:lang w:eastAsia="en-AU"/>
        </w:rPr>
      </w:pPr>
    </w:p>
    <w:p w14:paraId="06ABD2C9" w14:textId="77777777" w:rsidR="00341458" w:rsidRDefault="00341458" w:rsidP="001B262A">
      <w:pPr>
        <w:shd w:val="clear" w:color="auto" w:fill="FFFFFF"/>
        <w:spacing w:after="0"/>
        <w:jc w:val="both"/>
        <w:rPr>
          <w:noProof/>
          <w:sz w:val="24"/>
          <w:szCs w:val="24"/>
          <w:lang w:eastAsia="en-AU"/>
        </w:rPr>
      </w:pPr>
    </w:p>
    <w:p w14:paraId="632C8AB1" w14:textId="3ED183A4" w:rsidR="00BF13AB" w:rsidRDefault="00BF13AB" w:rsidP="001B262A">
      <w:pPr>
        <w:shd w:val="clear" w:color="auto" w:fill="FFFFFF"/>
        <w:spacing w:after="0"/>
        <w:jc w:val="both"/>
        <w:rPr>
          <w:noProof/>
          <w:sz w:val="24"/>
          <w:szCs w:val="24"/>
          <w:lang w:eastAsia="en-AU"/>
        </w:rPr>
      </w:pPr>
    </w:p>
    <w:p w14:paraId="06B3EE2B" w14:textId="0066B4C8" w:rsidR="00BF13AB" w:rsidRDefault="00341458" w:rsidP="001B262A">
      <w:pPr>
        <w:shd w:val="clear" w:color="auto" w:fill="FFFFFF"/>
        <w:spacing w:after="0"/>
        <w:jc w:val="both"/>
        <w:rPr>
          <w:noProof/>
          <w:sz w:val="24"/>
          <w:szCs w:val="24"/>
          <w:lang w:eastAsia="en-AU"/>
        </w:rPr>
      </w:pPr>
      <w:r>
        <w:rPr>
          <w:noProof/>
          <w:sz w:val="24"/>
          <w:szCs w:val="24"/>
          <w:lang w:eastAsia="en-AU"/>
        </w:rPr>
        <w:drawing>
          <wp:inline distT="0" distB="0" distL="0" distR="0" wp14:anchorId="7F3203D7" wp14:editId="604070BA">
            <wp:extent cx="1531620" cy="6076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1620" cy="607695"/>
                    </a:xfrm>
                    <a:prstGeom prst="rect">
                      <a:avLst/>
                    </a:prstGeom>
                  </pic:spPr>
                </pic:pic>
              </a:graphicData>
            </a:graphic>
          </wp:inline>
        </w:drawing>
      </w:r>
    </w:p>
    <w:p w14:paraId="73932A5B" w14:textId="32BB89E9" w:rsidR="00BF13AB" w:rsidRDefault="00BF13AB" w:rsidP="001B262A">
      <w:pPr>
        <w:shd w:val="clear" w:color="auto" w:fill="FFFFFF"/>
        <w:spacing w:after="0"/>
        <w:jc w:val="both"/>
        <w:rPr>
          <w:noProof/>
          <w:sz w:val="24"/>
          <w:szCs w:val="24"/>
          <w:lang w:eastAsia="en-AU"/>
        </w:rPr>
      </w:pPr>
    </w:p>
    <w:p w14:paraId="6F15415C" w14:textId="504D0AD7" w:rsidR="00A00AE2" w:rsidRDefault="00A00AE2" w:rsidP="001B262A">
      <w:pPr>
        <w:shd w:val="clear" w:color="auto" w:fill="FFFFFF"/>
        <w:spacing w:after="0"/>
        <w:jc w:val="both"/>
        <w:rPr>
          <w:noProof/>
          <w:sz w:val="24"/>
          <w:szCs w:val="24"/>
          <w:lang w:eastAsia="en-AU"/>
        </w:rPr>
      </w:pPr>
      <w:r>
        <w:rPr>
          <w:noProof/>
          <w:sz w:val="24"/>
          <w:szCs w:val="24"/>
          <w:lang w:eastAsia="en-AU"/>
        </w:rPr>
        <w:t>Rodger Smith</w:t>
      </w:r>
    </w:p>
    <w:p w14:paraId="36A5AEB3" w14:textId="783A9D6F" w:rsidR="00A00AE2" w:rsidRDefault="00A00AE2" w:rsidP="001B262A">
      <w:pPr>
        <w:shd w:val="clear" w:color="auto" w:fill="FFFFFF"/>
        <w:spacing w:after="0"/>
        <w:jc w:val="both"/>
        <w:rPr>
          <w:noProof/>
          <w:sz w:val="24"/>
          <w:szCs w:val="24"/>
          <w:lang w:eastAsia="en-AU"/>
        </w:rPr>
      </w:pPr>
      <w:r>
        <w:rPr>
          <w:noProof/>
          <w:sz w:val="24"/>
          <w:szCs w:val="24"/>
          <w:lang w:eastAsia="en-AU"/>
        </w:rPr>
        <w:t>National Chair</w:t>
      </w:r>
    </w:p>
    <w:p w14:paraId="7BB6A59B" w14:textId="0FDE80F5" w:rsidR="00A00AE2" w:rsidRDefault="00A00AE2" w:rsidP="001B262A">
      <w:pPr>
        <w:shd w:val="clear" w:color="auto" w:fill="FFFFFF"/>
        <w:spacing w:after="0"/>
        <w:jc w:val="both"/>
        <w:rPr>
          <w:noProof/>
          <w:sz w:val="24"/>
          <w:szCs w:val="24"/>
          <w:lang w:eastAsia="en-AU"/>
        </w:rPr>
      </w:pPr>
      <w:r>
        <w:rPr>
          <w:noProof/>
          <w:sz w:val="24"/>
          <w:szCs w:val="24"/>
          <w:lang w:eastAsia="en-AU"/>
        </w:rPr>
        <w:t>ACTU Retired Unionists’ Network</w:t>
      </w:r>
    </w:p>
    <w:p w14:paraId="6605F006" w14:textId="77777777" w:rsidR="00CB3460" w:rsidRDefault="00CB3460" w:rsidP="001B262A">
      <w:pPr>
        <w:shd w:val="clear" w:color="auto" w:fill="FFFFFF"/>
        <w:spacing w:after="0"/>
        <w:jc w:val="both"/>
        <w:rPr>
          <w:noProof/>
          <w:sz w:val="24"/>
          <w:szCs w:val="24"/>
          <w:lang w:eastAsia="en-AU"/>
        </w:rPr>
      </w:pPr>
    </w:p>
    <w:sectPr w:rsidR="00CB3460" w:rsidSect="009B09D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71F81"/>
    <w:multiLevelType w:val="hybridMultilevel"/>
    <w:tmpl w:val="2130996E"/>
    <w:lvl w:ilvl="0" w:tplc="3C3C2A5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4E53B2"/>
    <w:multiLevelType w:val="hybridMultilevel"/>
    <w:tmpl w:val="21E6B912"/>
    <w:lvl w:ilvl="0" w:tplc="AE2073A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8A091A"/>
    <w:multiLevelType w:val="hybridMultilevel"/>
    <w:tmpl w:val="BE5A1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A12850"/>
    <w:multiLevelType w:val="hybridMultilevel"/>
    <w:tmpl w:val="7F50A4C6"/>
    <w:lvl w:ilvl="0" w:tplc="C2F00838">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723843"/>
    <w:multiLevelType w:val="hybridMultilevel"/>
    <w:tmpl w:val="6262A4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567706"/>
    <w:multiLevelType w:val="hybridMultilevel"/>
    <w:tmpl w:val="B80C1C4A"/>
    <w:lvl w:ilvl="0" w:tplc="C2F00838">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8E27955"/>
    <w:multiLevelType w:val="hybridMultilevel"/>
    <w:tmpl w:val="D8326FFA"/>
    <w:lvl w:ilvl="0" w:tplc="2AC66320">
      <w:start w:val="1"/>
      <w:numFmt w:val="decimal"/>
      <w:lvlText w:val="%1."/>
      <w:lvlJc w:val="left"/>
      <w:pPr>
        <w:ind w:left="1069" w:hanging="360"/>
      </w:pPr>
      <w:rPr>
        <w:rFonts w:hint="default"/>
        <w:b/>
        <w:bCs/>
      </w:r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start w:val="1"/>
      <w:numFmt w:val="decimal"/>
      <w:lvlText w:val="%4."/>
      <w:lvlJc w:val="left"/>
      <w:pPr>
        <w:ind w:left="3229" w:hanging="360"/>
      </w:pPr>
    </w:lvl>
    <w:lvl w:ilvl="4" w:tplc="0C090019">
      <w:start w:val="1"/>
      <w:numFmt w:val="lowerLetter"/>
      <w:lvlText w:val="%5."/>
      <w:lvlJc w:val="left"/>
      <w:pPr>
        <w:ind w:left="3949" w:hanging="360"/>
      </w:pPr>
    </w:lvl>
    <w:lvl w:ilvl="5" w:tplc="0C09001B">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7" w15:restartNumberingAfterBreak="0">
    <w:nsid w:val="4BC46E79"/>
    <w:multiLevelType w:val="hybridMultilevel"/>
    <w:tmpl w:val="E4E0124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92A2E08"/>
    <w:multiLevelType w:val="hybridMultilevel"/>
    <w:tmpl w:val="0ED6A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95A61B6"/>
    <w:multiLevelType w:val="hybridMultilevel"/>
    <w:tmpl w:val="95FE97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2CA78F3"/>
    <w:multiLevelType w:val="hybridMultilevel"/>
    <w:tmpl w:val="96443D08"/>
    <w:lvl w:ilvl="0" w:tplc="C2F00838">
      <w:numFmt w:val="bullet"/>
      <w:lvlText w:val="-"/>
      <w:lvlJc w:val="left"/>
      <w:pPr>
        <w:ind w:left="216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9"/>
  </w:num>
  <w:num w:numId="4">
    <w:abstractNumId w:val="7"/>
  </w:num>
  <w:num w:numId="5">
    <w:abstractNumId w:val="6"/>
  </w:num>
  <w:num w:numId="6">
    <w:abstractNumId w:val="8"/>
  </w:num>
  <w:num w:numId="7">
    <w:abstractNumId w:val="1"/>
  </w:num>
  <w:num w:numId="8">
    <w:abstractNumId w:val="5"/>
  </w:num>
  <w:num w:numId="9">
    <w:abstractNumId w:val="3"/>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CE6"/>
    <w:rsid w:val="00005677"/>
    <w:rsid w:val="0005704B"/>
    <w:rsid w:val="00057FA2"/>
    <w:rsid w:val="000D0A12"/>
    <w:rsid w:val="001B262A"/>
    <w:rsid w:val="001D3A64"/>
    <w:rsid w:val="00262712"/>
    <w:rsid w:val="00283063"/>
    <w:rsid w:val="002851A7"/>
    <w:rsid w:val="00291AC2"/>
    <w:rsid w:val="002A1E4D"/>
    <w:rsid w:val="002A7080"/>
    <w:rsid w:val="002E36E3"/>
    <w:rsid w:val="00326D99"/>
    <w:rsid w:val="00341458"/>
    <w:rsid w:val="00345756"/>
    <w:rsid w:val="003972E1"/>
    <w:rsid w:val="003A6573"/>
    <w:rsid w:val="003D3400"/>
    <w:rsid w:val="003D6C9C"/>
    <w:rsid w:val="003D6E0E"/>
    <w:rsid w:val="00400F83"/>
    <w:rsid w:val="00414726"/>
    <w:rsid w:val="00435840"/>
    <w:rsid w:val="004B2C93"/>
    <w:rsid w:val="00507455"/>
    <w:rsid w:val="005A38DA"/>
    <w:rsid w:val="005D4042"/>
    <w:rsid w:val="00623AE0"/>
    <w:rsid w:val="0070430D"/>
    <w:rsid w:val="00713EB0"/>
    <w:rsid w:val="00791BA8"/>
    <w:rsid w:val="0080578E"/>
    <w:rsid w:val="00814938"/>
    <w:rsid w:val="00876A50"/>
    <w:rsid w:val="00892C7B"/>
    <w:rsid w:val="008A1B9D"/>
    <w:rsid w:val="008E79FF"/>
    <w:rsid w:val="00916148"/>
    <w:rsid w:val="00975F70"/>
    <w:rsid w:val="009B09D5"/>
    <w:rsid w:val="009E2D42"/>
    <w:rsid w:val="009E4589"/>
    <w:rsid w:val="009F26E3"/>
    <w:rsid w:val="00A00AE2"/>
    <w:rsid w:val="00A050B4"/>
    <w:rsid w:val="00A069BD"/>
    <w:rsid w:val="00A20D98"/>
    <w:rsid w:val="00A32908"/>
    <w:rsid w:val="00A7285E"/>
    <w:rsid w:val="00A90270"/>
    <w:rsid w:val="00AC1371"/>
    <w:rsid w:val="00B07A4A"/>
    <w:rsid w:val="00B23B2A"/>
    <w:rsid w:val="00BA309B"/>
    <w:rsid w:val="00BB6D23"/>
    <w:rsid w:val="00BF13AB"/>
    <w:rsid w:val="00BF6EF2"/>
    <w:rsid w:val="00C95E79"/>
    <w:rsid w:val="00CB3460"/>
    <w:rsid w:val="00CD0A8D"/>
    <w:rsid w:val="00D01C2B"/>
    <w:rsid w:val="00D63CE6"/>
    <w:rsid w:val="00E26C34"/>
    <w:rsid w:val="00E34200"/>
    <w:rsid w:val="00E4395B"/>
    <w:rsid w:val="00E54237"/>
    <w:rsid w:val="00E63933"/>
    <w:rsid w:val="00E647B8"/>
    <w:rsid w:val="00EA3C4B"/>
    <w:rsid w:val="00ED1590"/>
    <w:rsid w:val="00ED70D2"/>
    <w:rsid w:val="00EE0013"/>
    <w:rsid w:val="00F27F26"/>
    <w:rsid w:val="00F43297"/>
    <w:rsid w:val="00F52DB6"/>
    <w:rsid w:val="00F54DD7"/>
    <w:rsid w:val="00F66580"/>
    <w:rsid w:val="00F728C9"/>
    <w:rsid w:val="00F7303E"/>
    <w:rsid w:val="00FA3C21"/>
    <w:rsid w:val="00FA69B7"/>
    <w:rsid w:val="00FD0532"/>
    <w:rsid w:val="00FE62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3E44F"/>
  <w15:chartTrackingRefBased/>
  <w15:docId w15:val="{70B4F386-1138-4AAB-B008-77771E8B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2AB"/>
    <w:rPr>
      <w:color w:val="0563C1" w:themeColor="hyperlink"/>
      <w:u w:val="single"/>
    </w:rPr>
  </w:style>
  <w:style w:type="character" w:styleId="FollowedHyperlink">
    <w:name w:val="FollowedHyperlink"/>
    <w:basedOn w:val="DefaultParagraphFont"/>
    <w:uiPriority w:val="99"/>
    <w:semiHidden/>
    <w:unhideWhenUsed/>
    <w:rsid w:val="002851A7"/>
    <w:rPr>
      <w:color w:val="954F72" w:themeColor="followedHyperlink"/>
      <w:u w:val="single"/>
    </w:rPr>
  </w:style>
  <w:style w:type="paragraph" w:styleId="ListParagraph">
    <w:name w:val="List Paragraph"/>
    <w:basedOn w:val="Normal"/>
    <w:uiPriority w:val="34"/>
    <w:qFormat/>
    <w:rsid w:val="00892C7B"/>
    <w:pPr>
      <w:ind w:left="720"/>
      <w:contextualSpacing/>
    </w:pPr>
  </w:style>
  <w:style w:type="character" w:styleId="UnresolvedMention">
    <w:name w:val="Unresolved Mention"/>
    <w:basedOn w:val="DefaultParagraphFont"/>
    <w:uiPriority w:val="99"/>
    <w:semiHidden/>
    <w:unhideWhenUsed/>
    <w:rsid w:val="00E647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hyperlink" Target="mailto:rsm88535@bigpond.ne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tu.org.au/get-involved/retired_unionists_networ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Rodger Smith</cp:lastModifiedBy>
  <cp:revision>9</cp:revision>
  <cp:lastPrinted>2021-07-12T01:55:00Z</cp:lastPrinted>
  <dcterms:created xsi:type="dcterms:W3CDTF">2021-07-08T04:46:00Z</dcterms:created>
  <dcterms:modified xsi:type="dcterms:W3CDTF">2021-07-12T02:01:00Z</dcterms:modified>
</cp:coreProperties>
</file>